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3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val="en-US" w:eastAsia="zh-CN"/>
        </w:rPr>
        <w:t>询比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3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4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4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4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4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3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3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E8DD4A">
      <w:r>
        <w:br w:type="page"/>
      </w:r>
    </w:p>
    <w:p w14:paraId="091266EF">
      <w:pPr>
        <w:pStyle w:val="10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72EF081D">
      <w:pPr>
        <w:pStyle w:val="10"/>
        <w:ind w:left="0" w:leftChars="0" w:firstLine="0" w:firstLineChars="0"/>
      </w:pP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湖南宝庆数字集团有限公司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C357315">
      <w:pPr>
        <w:pStyle w:val="6"/>
        <w:spacing w:after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星湖花苑智能化设备采购项目询比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询比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D5A8B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完成本项目</w:t>
      </w:r>
      <w:r>
        <w:rPr>
          <w:rFonts w:hint="eastAsia" w:ascii="宋体" w:hAnsi="宋体" w:eastAsia="宋体" w:cs="宋体"/>
          <w:sz w:val="28"/>
          <w:szCs w:val="28"/>
        </w:rPr>
        <w:t>可能发生的所有费用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包括但不限于设备采购、运输、到场安装、接线及设备调试、开挖回填沟槽、综合布线等费用）</w:t>
      </w:r>
      <w:r>
        <w:rPr>
          <w:rFonts w:hint="eastAsia" w:ascii="宋体" w:hAnsi="宋体" w:eastAsia="宋体" w:cs="宋体"/>
          <w:sz w:val="28"/>
          <w:szCs w:val="28"/>
        </w:rPr>
        <w:t>，定标后不再增补任何费用。</w:t>
      </w:r>
    </w:p>
    <w:p w14:paraId="0152FA3D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、报价：供应商结合自身情况填写不高于上限控制价的价格。</w:t>
      </w:r>
    </w:p>
    <w:p w14:paraId="55162D63">
      <w:pPr>
        <w:rPr>
          <w:rFonts w:hint="eastAsia"/>
          <w:lang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eastAsia="zh-CN"/>
        </w:rPr>
        <w:br w:type="page"/>
      </w:r>
    </w:p>
    <w:p w14:paraId="7BE7A74A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分项报价表</w:t>
      </w:r>
    </w:p>
    <w:tbl>
      <w:tblPr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80"/>
        <w:gridCol w:w="4926"/>
        <w:gridCol w:w="380"/>
        <w:gridCol w:w="781"/>
        <w:gridCol w:w="908"/>
      </w:tblGrid>
      <w:tr w14:paraId="1626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10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E2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报价（元）</w:t>
            </w:r>
          </w:p>
        </w:tc>
      </w:tr>
      <w:tr w14:paraId="4A6E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55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智能网综合布线系统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8FD5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D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A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16口接入交换机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•名称:16口交换机;                                  •非网管型交换机，交换容量32Gbps，包转发率23.8Mpps；16个10/100/1000Mbps自适应电口；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•桌面式铁壳大端口交换机；支持标准交换、端口隔离、汇聚上联、网络克隆四种模式切换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•含跳线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2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4DC6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0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8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6U机柜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规格：600*600*370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6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4E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6CB3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9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8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4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3.5米监控立杆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•名称:监控摄像立杆;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•规格:3.5米,定制;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4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85E7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5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7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B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安防防水箱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•规格： 280*190*100                                •国产：定制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A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410E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D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E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配管 PVC20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•名称：20#线管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•规格型号:20#;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•材质:PVC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1A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7AC6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9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8芯单模光缆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电信级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4C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45E9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1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2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光纤收发器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3KM(千兆)收发器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含光纤跳线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F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04BB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6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综合网线（8+2）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无氧铜300/米/轴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92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DFFB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D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F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D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配线RVV2*2.5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 配线200米/卷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 RVV2*2.0;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AE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2DB0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0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切槽及恢复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9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04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CBA2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E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C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D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岗亭无线网桥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G无线网桥，包含录像机端和摄像头端两个设备，出厂默认配对，无需配置即可使用。最大桥接速率300Mbps，内置定向天线，推荐在300米内建筑的电梯监控场景使用。支持Web/睿易APP/MACC云平台管理。支持12VDC和12V非标PoE两种供电方式。支持壁挂/抱箍安装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28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8AA8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9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95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视频监控系统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55CA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9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0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F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电梯半球摄像头400w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最高分辨率可达2560 × 1440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支持背光补偿，强光抑制，3D数字降噪，数字宽动态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支持人形检测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支持开放型网络视频接口，ISAPI，SDK，GB28181协议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智能补光，支持白光/红外双补光，红外最远可达30 m，白光最远可达20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符合IP67防尘防水设计，可靠性高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含电源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E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1BCC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3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6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400w高清枪式摄像机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最高分辨率可达2560 × 1440 @25 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支持SmartIR，防止夜间红外过曝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支持背光补偿，强光抑制，3D数字降噪，数字宽动态，适应不同使用环境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支持开放型网络视频接口，ISAPI，SDK，GB28181协议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智能补光，支持白光/红外双补光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符合IP67防尘防水设计，可靠性高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含支架、电源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F0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EC39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3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3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电梯无线网桥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3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2.4G无线网桥，包含录像机端和摄像头端两个设备，出厂默认配对，无需配置即可使用。最大桥接速率300Mbps，内置定向天线，推荐在300米内建筑的电梯监控场景使用。支持Web/睿易APP/MACC云平台管理。支持12VDC和12V非标PoE两种供电方式。支持壁挂/抱箍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含电源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5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8C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EEA9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4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0E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监控室机房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DB3C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机柜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规格：600*600*2000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含光纤收发器机架式电源*2、ODF光纤配线架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2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7826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0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9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操作台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F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两联操作台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规格：1200*900*750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6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7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2A07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0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8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24口接入交换机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•名称:24口交换机;                                   •云管交换机，交换容量336Gbps，包转发率43.5Mpps；24个10/100/1000Mbps自适应电口，2个2.5G光口；           •机架式铁壳双模交换机；支持16K大MAC表项；无管模式下，支持标准交换、端口隔离、汇聚上联、防环路四种模式切换，支持优先转发端口；云管模式下，支持防环路、防私接、风暴抑制，支持小贝APP和云平台管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B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11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685C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C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7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机房核心交换机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•名称:机房双层交换机;                               •三层网管交换机，交换容量598Gbps/5.98Tbps，包转发率108Mpps/144Mpps；24个10/100/1000Mbps自适应电口，4个SFP千兆光口；支持静态路由、聚合口、ACL、端口镜像等功能，支持虚拟化堆叠，支持小贝APP和云平台统一管理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C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62B9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3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4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管理客户端-控制电脑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7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•处理器：i3-12100                                  •运存： 8G                                          •存储：512G                                       </w:t>
            </w:r>
          </w:p>
          <w:p w14:paraId="4E8F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•电源：180W                                        •显示器：23.8 寸显示器                                   •鼠标键盘套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B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F2A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2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55寸监控显示器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屏幕比例：16：9；屏幕分辨率：3840x2160；接口类型：USB*1;HDMI*2;DVI*1;VGA*1;AV*1;RSA232/IR(IN)*2;SR232/IR(OUT2)*1；亮度：400cd/m*2；对比度： 3000:1；供电电源：AC220V 138W;安装方式：可桌面，可壁挂，支持HDMI音频；HDMI支持输入分辨率：3840x2160（4k30hz）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含壁挂支架、HDMI线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A6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917C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F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A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4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高清硬盘录像机（8盘位）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6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可接驳符合ONVIF、RTSP、GB28181标准的网络摄像机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支持H.265、H.264编码前端自适应接入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支持12路1080P解码（开启解码增强，可提升至16路1080P解码）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支持800万像素高清网络视频的预览、存储与回放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支持HDMI与VGA异源输出，HDMI最大支持4K超高清显示输出，VGA支持1080P高清显示输出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自带8个SATA接口，最大支持10TB硬盘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支持IP设备集中管理，包括IP设备一键添加、参数配置、批量升级、导入/导出等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支持16路本地同步回放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针对人、车及事件类型，支持快速回放与检索功能，大幅提升录像回放和检索效率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支持萤石云服务，通过海康互联APP可实现手机远程预览/回放/配置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支持萤石、ISUP以及GB28181协议，轻松实现平台接入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F1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8CF9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3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3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0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8T硬盘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8TB容量，3.5英寸，SATA3.0接口，5400RPM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传输速率215MB/s，流畅存储视频有效防止丢帧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支持3年有限质保服务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适用海拔高度范围-305m至3050m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2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EC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58B1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1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2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静电地板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1.配置形式:综合敷设,含接地;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2.面层材料品种、规格、颜色:全钢防静电活动地板600mm×600mm×30mm含支撑脚;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含电线NH-BV6 、铜排30*3 、防雷器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03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652C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C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60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智慧停车系统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E286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3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道闸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折叠直杆定制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A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4A42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D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车牌识别系统一体机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500万高清镜头，综合识别率达99.9 %。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摄像机通过RS485透传控制语音及显示，无需控制主板，处理高效快速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高性能处理器，运行速度更快，识别效果更佳。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LED双LED双色红绿两行显示，P4.75RF-16S-6432-6432 规格尺寸：304*152*15mm ；像素点间距：4.75mm ；电源要求：4.8～5.2V 3A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色红绿四行显示，P4.75RF-16S-6432-6432 规格尺寸：304*152*15mm ；像素点间距：4.75mm ；电源要求：4.8～5.2V 3A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支持微信支付，支付宝支付，无感支付，支持云平台管理（ZKTecoParking+云平台管理）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支持灵活费率设置、多种收费折扣、黑名单管理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系统支持各类报表定义查询功能（固定车表，收费的日、月、年表，场内车辆表，原始报表，车辆的出入报表，收费汇总表）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1、升级了硬件配置，LED双LED双色红绿四行显示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2、外观小巧便于组装和调节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3、适用于户外各种恶劣环境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4、内部接线工整规范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5、区别于行业的标志性外观结构，品牌辨识度高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6、摄像机直接控制道闸和指示灯，无需控制主板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钣金材质：箱体钣金是1.2mm,立柱钣金是1.5mm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颜色外观: 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外观工艺：喷粉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工作环境温度：-25℃~65℃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相对湿度：10%～90%，无结露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箱体防水等级：IP54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电源电压：AC  220V 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存储容量：LPR-IPC103系列固定车8000个，黑名单+白名单1000个，缴费记录5000条，出入场记录1万条 备注，配套LPR-IPC103车牌识别摄像机默认不带SD卡，如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需要，可自行增加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语音：可播报停车费、系统各种操作提示，开机欢迎提示等，特殊场合可设置人性化播报和显示的内容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通讯方式：TCP/IP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外置补光灯：AC 220V  50Hz  功率11W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发光角度30°  正白色温5500K-6200K 1300LM（流明）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适应温度-30°C~+70°C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摄像机相关参数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1、图像传感器：300W 1/2.7时CMOS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2、处理器：HI3516EV300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3、镜头：定焦镜头6mm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4、宽动态范围： &gt; 120dB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5、车辆捕获率：≥99%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6、视频压缩标准：H.264/H.265/MJPEG;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7、视频分辨率：640*360、704*576、1280*720、1920* 1080、2304*1296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8、压缩输出码率：512Kbps~5000Kbps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9、帧率：1~25帧,默认25帧(1920* 1080)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10、识别像素大小：50~500pixel 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8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05BB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C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雷达车检器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采用高度集成射频芯片 SoC 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案，具有体积小、成本低、全天时全天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候工作、探测灵敏度高、精度高、调试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安装简单、稳定可靠等特点。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本雷达工作频率为 79GHz，采用线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性调频连续波形，可用带宽高达 4GHz，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距离分辨率可达 4cm，测距精度优于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2cm；毫米波天线采用多发多收方式，具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有较高的角分辨率和测角精度；信号处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理和控制单元采用 DSP +ARM 双核心架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构。通过软硬件联合优化设计，本产品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能够精确识别区分经过闸杆区域的行人、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车辆等目标，避免“砸车”、 “砸人”、“不落杆”等现象。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F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12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ED79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D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嵌入式终端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i3-12100 8G 512G 180W 鼠键 23.8 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含电源适配器、停车收费服务、无线台控开关、100M网络收发器、出入口系统调试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D8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67E1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E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5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8口接入交换机 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D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非网管型塑壳交换机，交换容量16Gbps，包转发率11.9Mpps；8个10/100/1000Mbps自适应电口；桌面式塑壳小端口交换机；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1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09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2F3F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2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CE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4G五方通话系统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89D8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9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C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4G五方通话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8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A：监控中心配置（值班室）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8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BC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5B29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6C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4G物联网流量主机：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待机电压:DC-12V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待机电流:100~150mA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工作温度范围:-30℃~70℃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87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A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84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178C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2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D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专用天线：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工作温度范围：-30℃~70℃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3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895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2EBD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待机电流：180mA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工作温度范围“-30℃~70℃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E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C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BE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7252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9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6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B：机房设备配置（机房）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A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8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CE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4A52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1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9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4G物联网2局分机：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待机电压:DC-12V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待机电流:100~150mA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工作温度范围:-30℃~70℃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1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0A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502C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06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E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4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工作温度范围：-30℃~70℃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1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6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2395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3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3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待机电流：180mA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工作温度范围“-30℃~70℃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C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8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1B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40FD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84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2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C：通话设备配置（轿厢）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7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D9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701B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4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9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轿厢通话器：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工作电流：12mA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待机电压：DC-2~4V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待机电流：3mA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工作温度范围：-30℃~70℃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5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AC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2447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5C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7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机房电话：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工作电流：12mA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待机电压：DC-2~4V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待机电流：3mA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工作温度范围：-30℃~70℃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D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9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7EB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06DF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7F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6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轿顶副机：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工作电流：12mA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待机电压：DC-2~4V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待机电流：3mA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工作温度范围：-30℃~70℃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1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4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BB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5F80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73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E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底坑副机：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工作电压：DC-12V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工作电流：12mA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待机电压：DC-2~4V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待机电流：3mA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工作温度范围：-30℃~70℃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8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8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6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80"/>
                <w:sz w:val="36"/>
                <w:szCs w:val="36"/>
                <w:u w:val="none"/>
              </w:rPr>
            </w:pPr>
          </w:p>
        </w:tc>
      </w:tr>
      <w:tr w14:paraId="5585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B1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辅材及安装调试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036A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0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4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辅材及安装调试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含施工设备配套所需材料及安装调试费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7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50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742E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1EF4A9">
      <w:pPr>
        <w:rPr>
          <w:rFonts w:hint="eastAsia"/>
          <w:lang w:val="en-US" w:eastAsia="zh-CN"/>
        </w:rPr>
      </w:pPr>
    </w:p>
    <w:p w14:paraId="69E584A8">
      <w:pPr>
        <w:rPr>
          <w:rFonts w:hint="default"/>
          <w:lang w:val="en-US" w:eastAsia="zh-CN"/>
        </w:rPr>
      </w:pPr>
    </w:p>
    <w:p w14:paraId="6A70F503">
      <w:pPr>
        <w:rPr>
          <w:rFonts w:hint="eastAsia"/>
          <w:lang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1D4D8BD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3462C8E2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6B37919F">
      <w:pPr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46B5093"/>
    <w:rsid w:val="07A74B13"/>
    <w:rsid w:val="0B9C7A9E"/>
    <w:rsid w:val="0C655BD1"/>
    <w:rsid w:val="0CE71E24"/>
    <w:rsid w:val="0EDB5948"/>
    <w:rsid w:val="0FA1450C"/>
    <w:rsid w:val="14685472"/>
    <w:rsid w:val="16F456F5"/>
    <w:rsid w:val="1A8156DB"/>
    <w:rsid w:val="22A16863"/>
    <w:rsid w:val="273C716F"/>
    <w:rsid w:val="2A580775"/>
    <w:rsid w:val="2D3B18DB"/>
    <w:rsid w:val="2EA37DBC"/>
    <w:rsid w:val="35BD1563"/>
    <w:rsid w:val="37A1780E"/>
    <w:rsid w:val="37F06328"/>
    <w:rsid w:val="38622D1D"/>
    <w:rsid w:val="39653AC8"/>
    <w:rsid w:val="396C5362"/>
    <w:rsid w:val="3B5C6886"/>
    <w:rsid w:val="3B68621D"/>
    <w:rsid w:val="402E166D"/>
    <w:rsid w:val="418465EA"/>
    <w:rsid w:val="428B1FE6"/>
    <w:rsid w:val="437A642B"/>
    <w:rsid w:val="50AD2841"/>
    <w:rsid w:val="51035E25"/>
    <w:rsid w:val="5702076A"/>
    <w:rsid w:val="57923845"/>
    <w:rsid w:val="5D7512AF"/>
    <w:rsid w:val="5ECD486E"/>
    <w:rsid w:val="641726EB"/>
    <w:rsid w:val="674F71D1"/>
    <w:rsid w:val="68BA526B"/>
    <w:rsid w:val="71F72072"/>
    <w:rsid w:val="725C6318"/>
    <w:rsid w:val="754E5995"/>
    <w:rsid w:val="797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3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4">
    <w:name w:val="样式2"/>
    <w:basedOn w:val="15"/>
    <w:qFormat/>
    <w:uiPriority w:val="0"/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18"/>
    <w:basedOn w:val="12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1">
    <w:name w:val="15"/>
    <w:basedOn w:val="12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2">
    <w:name w:val="17"/>
    <w:basedOn w:val="12"/>
    <w:qFormat/>
    <w:uiPriority w:val="0"/>
    <w:rPr>
      <w:rFonts w:hint="eastAsia" w:ascii="仿宋" w:hAnsi="仿宋" w:eastAsia="仿宋"/>
      <w:color w:val="FF0000"/>
      <w:sz w:val="24"/>
      <w:szCs w:val="24"/>
    </w:rPr>
  </w:style>
  <w:style w:type="character" w:customStyle="1" w:styleId="23">
    <w:name w:val="16"/>
    <w:basedOn w:val="12"/>
    <w:qFormat/>
    <w:uiPriority w:val="0"/>
    <w:rPr>
      <w:rFonts w:hint="eastAsia" w:ascii="仿宋" w:hAnsi="仿宋" w:eastAsia="仿宋"/>
      <w:color w:val="C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3511</Words>
  <Characters>4464</Characters>
  <Lines>0</Lines>
  <Paragraphs>0</Paragraphs>
  <TotalTime>9</TotalTime>
  <ScaleCrop>false</ScaleCrop>
  <LinksUpToDate>false</LinksUpToDate>
  <CharactersWithSpaces>5388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振</cp:lastModifiedBy>
  <cp:lastPrinted>2026-03-13T00:38:00Z</cp:lastPrinted>
  <dcterms:modified xsi:type="dcterms:W3CDTF">2026-06-11T10:33:37Z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91845A69D63B481195813EA94F25B0A5_11</vt:lpwstr>
  </property>
  <property fmtid="{D5CDD505-2E9C-101B-9397-08002B2CF9AE}" pid="4" name="KSOTemplateDocerSaveRecord">
    <vt:lpwstr>eyJoZGlkIjoiNTM2MzVhMWE5ZmIxMzBhOTdiYTIxNzRkM2M5NjYxNDAiLCJ1c2VySWQiOiI2MTE1MjM2MTEifQ==</vt:lpwstr>
  </property>
</Properties>
</file>