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3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val="en-US" w:eastAsia="zh-CN"/>
        </w:rPr>
        <w:t>询比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3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4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4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4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4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3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3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E8DD4A">
      <w:r>
        <w:br w:type="page"/>
      </w:r>
    </w:p>
    <w:p w14:paraId="091266EF">
      <w:pPr>
        <w:pStyle w:val="10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72EF081D">
      <w:pPr>
        <w:pStyle w:val="10"/>
        <w:ind w:left="0" w:leftChars="0" w:firstLine="0" w:firstLineChars="0"/>
      </w:pP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邵阳市智慧城市产业发展有限公司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C357315">
      <w:pPr>
        <w:pStyle w:val="6"/>
        <w:spacing w:after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数据网络安全整改项目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询比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询比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D5A8B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完成本项目</w:t>
      </w:r>
      <w:r>
        <w:rPr>
          <w:rFonts w:hint="eastAsia" w:ascii="宋体" w:hAnsi="宋体" w:eastAsia="宋体" w:cs="宋体"/>
          <w:sz w:val="28"/>
          <w:szCs w:val="28"/>
        </w:rPr>
        <w:t>可能发生的所有费用，定标后不再增补任何费用。</w:t>
      </w:r>
    </w:p>
    <w:p w14:paraId="0152FA3D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、报价：供应商结合自身情况填写不高于上限控制价的价格。</w:t>
      </w:r>
    </w:p>
    <w:p w14:paraId="55162D63">
      <w:pPr>
        <w:rPr>
          <w:rFonts w:hint="eastAsia"/>
          <w:lang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eastAsia="zh-CN"/>
        </w:rPr>
        <w:br w:type="page"/>
      </w:r>
    </w:p>
    <w:p w14:paraId="7BE7A74A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分项报价表</w:t>
      </w:r>
    </w:p>
    <w:tbl>
      <w:tblPr>
        <w:tblStyle w:val="11"/>
        <w:tblW w:w="10484" w:type="dxa"/>
        <w:tblInd w:w="-7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433"/>
        <w:gridCol w:w="6514"/>
        <w:gridCol w:w="644"/>
        <w:gridCol w:w="735"/>
        <w:gridCol w:w="880"/>
        <w:gridCol w:w="845"/>
      </w:tblGrid>
      <w:tr w14:paraId="2CBBB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E5A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0F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8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1C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1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77D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85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小计（元）</w:t>
            </w:r>
          </w:p>
        </w:tc>
      </w:tr>
      <w:tr w14:paraId="321B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B4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40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软件升级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2E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原奇安信-网神日志审计LAS-R32P软件升级服务；提供3年软件功能升级、Bug修复、漏洞修复和不定期安全策略包升级服务。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（提供原厂售后承诺函，并加盖原厂公章）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53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7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B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6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5AB23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3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0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软件升级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C3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原奇安信-网神上网行为管理NBM3245X软件版本与协议库升级；提供3年软件版本升级服务;提供新版本功能优化与性能提升价值。URL库、应用协议库定期更新;保持对网络应用识别与管理的有效性。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（提供原厂售后承诺函，并加盖原厂公章）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D8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B3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0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6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264C0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9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A8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软件升级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2A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原奇安信-网神防火墙NSG3000-TE45安全组合升级订阅服务包；提供3年安全组合升级订阅服务包（威胁情报数据订阅服务、应用识别库、URL分类特征库、病毒防护特征库、入侵防御特征库升级服务）。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（提供原厂售后承诺函，并加盖原厂公章）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5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36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5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B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27FA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15D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24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终端安全管理系统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F7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 提供200个Windows系统点位和4个信创系统点位3年使用及升级授权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（提供原厂售后承诺函，并加盖原厂公章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），Windows授权支持Windows Server 2003 SP1及以上版本和Windows XP（SP3）及以上版本，所提供授权包含产品全模块功能，无需按照模块进行授权。</w:t>
            </w:r>
          </w:p>
          <w:p w14:paraId="2664F13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2.要求必须为国产软件，且为非OEM产品，软件必须是原厂自主研发的反病毒引擎。</w:t>
            </w:r>
          </w:p>
          <w:p w14:paraId="6659A14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3.要求终端具有弹窗拦截工具，具备自动拦截方式，手动截图拦截方式，可拦截流氓、广告、以及恶意弹窗等。</w:t>
            </w:r>
          </w:p>
          <w:p w14:paraId="4D4AC2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4.要求反病毒引擎具有基于虚拟沙盒的动态行为分析，可以跟踪和记录运行在其中程序的行为，通过行为记录，可以通过启发式分析算法对程序的恶意性进行评估。</w:t>
            </w:r>
          </w:p>
          <w:p w14:paraId="34EB49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5.要求支持暴破攻击防护，阻止黑客通过SMBv1、SMBv2、 RPC、SQLServer、RDP协议进行暴力破解攻击。</w:t>
            </w:r>
          </w:p>
          <w:p w14:paraId="733F1FC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6.要求支持恶意网站拦截，拦截网站中带有木马、欺诈、钓鱼、等程序的网站。</w:t>
            </w:r>
          </w:p>
          <w:p w14:paraId="63573A2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7.要求支持网络入侵拦截，拦截高危远程漏洞攻击，从而阻止勒索病毒、黑客攻击等通过响应漏洞入侵，可溯源到攻击源的地址，做出有效的动作，阻止病毒爆发。</w:t>
            </w:r>
          </w:p>
          <w:p w14:paraId="6DA5DE7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.要求支持横向渗透防护，防护内网中已中毒机器感染其他主机，阻止横向传播、病毒以及木马的扩散防护项包括默认共享访问、远程服务创建、远程计划任务创建、远程注册表篡改、远程MMC调用、远程DCOM调用、远程WMI调用有效阻止病毒横向渗透。</w:t>
            </w:r>
          </w:p>
          <w:p w14:paraId="38CE67D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9.要求支持设备控制，可对U盘（可限制读写权限、加密、使用范围）、便携设备、USB有线无线网卡、打印机、光驱、蓝牙等设备禁用。</w:t>
            </w:r>
          </w:p>
          <w:p w14:paraId="2CDF3E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10.要求支持IP协议控制，根据内网中的安全状态，灵活配置IP协议以及端口。</w:t>
            </w:r>
          </w:p>
          <w:p w14:paraId="3FBE221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11.要求支持IP黑名单，添加需要限制的IP地址，当在黑名单中的IP地址对电脑进行访问时，自动阻止访问行为。</w:t>
            </w:r>
          </w:p>
          <w:p w14:paraId="1EE2A1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12.要求支持导出安全分析报告，对当前中心进行安全状况分析并生成分析报告。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58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6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6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2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C25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F03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42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数据库审计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F9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、审计一体机，1U上架专用设备，6个电口（含1个管理口，1个HA口），4个千兆SFP接口插槽（不含光收发模块），3个接口扩展槽，可扩展接口板卡，1个RJ45串口，硬盘4T，单电源。含嵌入式审计软件一套，要求支持主流数据库如Oracle、SQL-Server、MySQL、达梦、人大金仓等数据库的审计，同时具备基础网络协议如HTTP、Telnet等协议的审计功能，含3个被审计数据库服务数，可扩充；含3年硬件维保服务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（提供原厂售后承诺函，并加盖原厂公章）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2要求支持国产数据库人大金仓、达梦、南大通用、神通、高斯、瀚高、巨杉、OceanBase等数据库的审计。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3、要求支持对针对数据库的SQL注入、CVE高危漏洞利用、口令攻击、缓冲区溢出等攻击行为进行审计。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4、要求支持审计访问数据库的时间，源/目的IP，源/目的端口，源/目的mac，资源账号，数据库名，规则名称，表名，命令，SQL语句、级别，响应时间、错误码，影响行数，连接方式，客户端程序名，模式名。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5、要求支持数据库操作类、表、视图、索引、触发器、存储过程、域、会话、数据、授权、游标、事物、表空间、序列、函数等不低于36各种对象的操作审计。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6、要求支持API（HTTP/HTTPS）自学习业务操作特征，并生成业务URL树，针对关注的业务系统可细粒度配置审计规则。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、要求支持基于网络流量的资产发现功能，能够发现数据库表和资源账号，其中数据库表的自动发现支持表名、数据库名、发现次数和发现日期，资源账号自动发现支持在线天数、首次发现日期、末次发现日期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、用户可自定义审计策略，审计策略支持时间、源IP、目的IP、协议、端口、登陆账号、命令数据库客户端软件名称、数据库名、数据库表名、数据库字段名、数据库返回码作为响应条件（非正则表达式方式），并且表字段可匹配与或关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、要求支持用户操作轨迹图展示，轨迹图维度可根据资源账号、源ip、客户端程序名、命令、表名、错误码等按需定义，可根据昨天、最近七天、最近30天以及自定义时间进行轨迹显示，可显示下一节点数量，可在某一维度中进行筛选，支持钻取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10、要求支持敏感信息掩码，用户可以针对姓名、身份证号、手机号、银行卡号、住址以及自定义信息进行敏感信息掩码配置，防止敏感信息在审计系统中进行泄露。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C1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04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7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1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9F9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E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94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数据库加密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A476">
            <w:pPr>
              <w:widowControl/>
              <w:snapToGrid w:val="0"/>
              <w:jc w:val="left"/>
              <w:textAlignment w:val="top"/>
              <w:rPr>
                <w:rStyle w:val="20"/>
                <w:rFonts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1、2U机架式设备，单电，</w:t>
            </w:r>
            <w:r>
              <w:rPr>
                <w:rFonts w:hint="eastAsia" w:ascii="仿宋" w:hAnsi="仿宋" w:eastAsia="仿宋" w:cs="仿宋"/>
                <w:szCs w:val="21"/>
              </w:rPr>
              <w:t>国产硬件平台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 xml:space="preserve"> (8核16线程)，16G内存，2T硬盘，2网口，2×扩展槽位；</w:t>
            </w:r>
            <w:r>
              <w:rPr>
                <w:rFonts w:hint="eastAsia" w:ascii="仿宋" w:hAnsi="仿宋" w:eastAsia="仿宋" w:cs="仿宋"/>
                <w:szCs w:val="21"/>
              </w:rPr>
              <w:t>含3年硬件维保服务。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（提供原厂售后承诺函，并加盖原厂公章）</w:t>
            </w:r>
            <w:r>
              <w:rPr>
                <w:rStyle w:val="20"/>
                <w:rFonts w:hint="default"/>
                <w:b/>
                <w:bCs/>
                <w:color w:val="auto"/>
                <w:sz w:val="21"/>
                <w:szCs w:val="21"/>
              </w:rPr>
              <w:t xml:space="preserve"> </w:t>
            </w:r>
          </w:p>
          <w:p w14:paraId="1705E2C5">
            <w:pPr>
              <w:widowControl/>
              <w:snapToGrid w:val="0"/>
              <w:jc w:val="left"/>
              <w:textAlignment w:val="top"/>
              <w:rPr>
                <w:rStyle w:val="20"/>
                <w:rFonts w:hint="default"/>
                <w:color w:val="auto"/>
                <w:sz w:val="21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2、通过透明加密技术，对存储的数据进行加密，确保数据存储机密性，防止数据泄漏。含4个数据库实例授权；</w:t>
            </w:r>
          </w:p>
          <w:p w14:paraId="3422E542">
            <w:pPr>
              <w:widowControl/>
              <w:snapToGrid w:val="0"/>
              <w:jc w:val="left"/>
              <w:textAlignment w:val="top"/>
              <w:rPr>
                <w:rStyle w:val="20"/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 xml:space="preserve">支持按应用、API、数据库、数据库账号、数据资产、SQL语句等类型区分管理资产； </w:t>
            </w:r>
          </w:p>
          <w:p w14:paraId="3ECDDF09">
            <w:pPr>
              <w:widowControl/>
              <w:snapToGrid w:val="0"/>
              <w:jc w:val="left"/>
              <w:textAlignment w:val="top"/>
              <w:rPr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至少包含两种数据库账号自动发现能力，包括：</w:t>
            </w:r>
            <w:r>
              <w:rPr>
                <w:rStyle w:val="21"/>
                <w:rFonts w:hint="default"/>
                <w:color w:val="auto"/>
                <w:sz w:val="21"/>
                <w:szCs w:val="21"/>
              </w:rPr>
              <w:t>通过数据库用户表扫描数据库账号、基于数据库访问流量发现数据库账号；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支持数据库账号权限检测，以列表形式展示权限信息；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0A31BCB">
            <w:pPr>
              <w:widowControl/>
              <w:snapToGrid w:val="0"/>
              <w:jc w:val="left"/>
              <w:textAlignment w:val="top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支持以“人、终端、应用、账号”四个维度精确定义唯一的资产访问身份；支持通过终端设备IP、MAC地址、应用名称、数字证书、数据库账号、业务账号名称等因素的组合，构建多维的身份鉴别策略；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5976F78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支持事件回溯能力，至少支持时间、SQL语句数量等至少两个维度的会话溯源；支持从溯源结果中，一键批量提取SQL语句和执行顺序，组合形成应用访问指纹；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1858E3C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支持API会话分析，对会话过程进行回溯并关联API日志，统计涉及接口数量、风险及敏感标签触发数量，对会话进行倍速播放；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0D38FCF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支持对特定风险类型自定义危害情况和处置预案，提升运营效率；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4924305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9、提供资产分布态势大屏，直观展现用户整体系统的风险情况，包括数据库/敏感表/敏感列的数量统计、数据访问趋势、数据库类型占比、SQL执行时长分布、数据敏感列分布、敏感表数据分布、数据库登录情况TOP10等内容；支持个性化换肤</w:t>
            </w:r>
          </w:p>
          <w:p w14:paraId="430E5AE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10、运营处置工作台提供高频配置流程入口，包括用户创建、数据库资产、防护策略部署；展示防护能力的使用情况及资产变更数据；通过风险处置列表、待办列表、督办列表将日常运营工作提供集中化处理</w:t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75E1D5D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11、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支持数据权限功能，通过设置数据权限组，控制用户可见的资产范围；分配到对应权限组的用户，可进行对应资产的管理，否则此用户无法管理此资产，以实现数据隔离；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1CC993B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至少支持整库、表空间、schema、表、列等数据加密粒度；支持针对不同敏感等级的数据进行加密；支持多种加密模式，支持业务在线加密，不需要业务停机；支持通过指定进程或指定目录，新增进程白名单；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625A218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13、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支持SM3-HMAC国密验证算法，验证数据存储完整性，发生篡改时进行告警并记录告警时间、被篡改的目标对象；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</w:p>
          <w:p w14:paraId="13D32FF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14、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离线加解密工具下载，通过离线加解密工具，可对敏感数据文件进行加密，保障数据文件安全；支持实时记录用户名、邮箱、电话、加密内容、加密地址等信息；接收方需获取授权并验证信息后才可解密密文数据文件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240E72B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15、资产访问默认密文，支持通过工单审批机制，实现加密数据资产访问授权；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4EAD715F">
            <w:pPr>
              <w:widowControl/>
              <w:snapToGrid w:val="0"/>
              <w:jc w:val="left"/>
              <w:textAlignment w:val="center"/>
              <w:rPr>
                <w:rStyle w:val="23"/>
                <w:rFonts w:hint="default"/>
              </w:rPr>
            </w:pPr>
            <w:r>
              <w:rPr>
                <w:rStyle w:val="21"/>
                <w:rFonts w:hint="default"/>
                <w:color w:val="auto"/>
                <w:sz w:val="21"/>
                <w:szCs w:val="21"/>
              </w:rPr>
              <w:t>16、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Style w:val="20"/>
                <w:rFonts w:hint="default"/>
                <w:color w:val="auto"/>
                <w:sz w:val="21"/>
                <w:szCs w:val="21"/>
              </w:rPr>
              <w:t>支持基于身份的密文访问控制，身份要素至少包括应用名称、应用签名、IP地址、主机名、数据库用户等，根据用户权限进行数据库返回结果控制，只有拥有合法权限的数据库用户才可看到明文，无合法权限的用户返回经过加密数据。</w:t>
            </w:r>
          </w:p>
          <w:p w14:paraId="12859811">
            <w:pPr>
              <w:widowControl/>
              <w:snapToGrid w:val="0"/>
              <w:jc w:val="left"/>
              <w:textAlignment w:val="top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17、加密算法至少应支持3DES168、AES128、AES192、AES256等国际密码算法，SM4等国密算法；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支持在加密前，根据不同加密算法，进行加密结果预览；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要求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支持对接三方密码设备，至少包括密码卡、密码服务平台、密码管理系统等；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8B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A9E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EE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F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2F6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C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24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防火墙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7C00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1U机箱，双电源，采用国产硬件平台和操作系统；网络层吞吐量4G，并发连接300万，每秒新建连接数6万；标准配置4个10/100/1000M自适应电口，1个扩展插槽，1个Console口；含三年应用控制、URL过滤、病毒防护、入侵防御、威胁情报等扩展功能模块升级授权，含3年硬件维保服务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（提供原厂售后承诺函，并加盖原厂公章）</w:t>
            </w:r>
          </w:p>
          <w:p w14:paraId="246E8B84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产品功能要求参数：</w:t>
            </w:r>
          </w:p>
          <w:p w14:paraId="7F90E5F5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路由协议：支持基于策略的路由负载，支持根据应用和服务进行智能选路，支持源地址目的地址哈希、源地址哈希、轮询、时延负载、备份、随机、流量均衡、源地址轮询、目的地址哈希、最优链路带宽负载、最优链路带宽备份、跳数负载等不少于12种路由负载均衡方式。支持基于IPv4或IPv6的TCP、HTTP、DNS、ICMP、Radius方式的链路探测联动，同时TCP与HTTP可使用自定义目标端口进行测试；支持BFD联动；</w:t>
            </w:r>
          </w:p>
          <w:p w14:paraId="12527E9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2、WEB攻击防护功能：支持防扫描、HTTP 异常防护、SQL 注入攻击、跨站脚本攻击、命令执行攻击、代码执行攻击、目录遍历攻击、敏感信息泄露、webshell 防护、HTTP行为管控、HTTP Flood 攻击防护、WAF 动态防护、Web 浏览病毒页面重新定向、Web 漏洞攻击防护等功能；</w:t>
            </w:r>
          </w:p>
          <w:p w14:paraId="5333E28A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3、SSL 解密：支持IPv4和IPv6流量的HTTPS、POP3S、SMTPS、IMAPS协议进行解密，支持配置基于源安全域、目的安全域、源地址、目的地址、SSL协议服务的解密策略，动作可以设置解密或不解密，同时支持将解密后流量镜像到其他设备进行分析统计；且支持设置是否记录日志；</w:t>
            </w:r>
          </w:p>
          <w:p w14:paraId="78B420F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4、策略与处置：可在单条策略中启用病毒防护、入侵防御、网址过滤、文件过滤、文件内容过滤、终端过滤等安全功能选项；</w:t>
            </w:r>
          </w:p>
          <w:p w14:paraId="391B3D9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5、访问控制：持基于源安全域、目的安全域、源用户、源地址、源地区、目的地址、目的地区、服务、应用、隧道、时间、VLAN等多种方式进行访问控制，并支持地理区域对象的导入以及重复策略的检查；</w:t>
            </w:r>
          </w:p>
          <w:p w14:paraId="5545D88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应用识别与控制：支持应用识别，应用特征库包含的应用数量（非应用协议的规则总数）大于3000种，可深度识别每种应用的属性，为每种应用提供预定义的风险系数，并将应用基于类型、数据传输、风险等级等特征分类；</w:t>
            </w:r>
          </w:p>
          <w:p w14:paraId="72E91D2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7、网络攻击防护：支持基于不同安全区域防御SYN Flood、UDP  Flood、ICMP  Flood、IP  Flood、Frag Flood、DNS Flood、HTTP Flood、NTP Query Flood 、NTP Reply Flood 和SIP Flood 攻击，并支持警告、丢弃、普通防护、增强防护、授权服务器防护等多种防护措施；</w:t>
            </w:r>
          </w:p>
          <w:p w14:paraId="549A640F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8、病毒防护：支持对HTTP/FTP/POP3/SMTP/IMAP/SMB/IPTUX七种协议进行病毒查杀；本地病毒库规模大于3000万，支持样本留存； </w:t>
            </w:r>
          </w:p>
          <w:p w14:paraId="00DEBDCC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、入侵防御：支持漏洞防护功能，同时将漏洞防护特征库分类，至少包括缓冲区溢出、跨站脚本、拒绝服务、恶意扫描、SQL注入、WEB攻击等六种分类；漏洞防护支持日志、阻断、放行、重置等执行动作,可批量设置针对某一分类或全部攻击签名的执行动作；支持基于FTP、HTTP、IMAP、OTHER_APP、POP3、SMB、SMTP等应用协议的漏洞防护；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3E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8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9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B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1A9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88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F4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安全服务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790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（1）网络安全：对网络安全工作责任制、网络安全日常管理、信息系统基础信息、网络安全技术防护、网络安全应急工作、网络安全教育培训、外包服务管理等情况进行检查。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（2）数据安全：对数据安全工作落实、数据全生命周期管理、数据安全技术防护、数据安全应急工作、数据安全教育培训、数据安全合作方管理、数据备份与恢复等情况进行检查。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（3）根据现场检查结果形成《网络数据安全检查报告》。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1A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A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4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8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395E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8C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48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安全服务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F1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（1）终端密码复杂度设置、密码最长使用期限等策略，并开启登录失败处理策略和所有审核策略。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（2）办公终端进行IP和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MAC地址绑定。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（3）服务器登录失败处理、审核策略等基础配置调优。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F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5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6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C1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1DBF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AB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5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安全服务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441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（1）对安全检查中漏洞扫描发现存在高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中、低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风险漏洞的资产再次进行漏洞扫描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并修复或规避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（2）根据IP定位终端，技术人员针对相关资产进行漏洞修复或规避。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（3）再次进行漏洞扫描，查验漏洞修复情况。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（4）形成首次与复测《漏洞扫描报告》。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96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FF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1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1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453A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4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4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8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0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6EA7773">
      <w:pPr>
        <w:rPr>
          <w:rFonts w:hint="eastAsia"/>
          <w:lang w:val="en-US" w:eastAsia="zh-CN"/>
        </w:rPr>
      </w:pPr>
    </w:p>
    <w:p w14:paraId="69E584A8">
      <w:pPr>
        <w:rPr>
          <w:rFonts w:hint="default"/>
          <w:lang w:val="en-US" w:eastAsia="zh-CN"/>
        </w:rPr>
      </w:pPr>
    </w:p>
    <w:p w14:paraId="6A70F503">
      <w:pPr>
        <w:rPr>
          <w:rFonts w:hint="eastAsia"/>
          <w:lang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1D4D8BD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3462C8E2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4D80FE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B37919F">
      <w:pPr>
        <w:pStyle w:val="10"/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7A74B13"/>
    <w:rsid w:val="0B9C7A9E"/>
    <w:rsid w:val="0CE71E24"/>
    <w:rsid w:val="0FA1450C"/>
    <w:rsid w:val="16F456F5"/>
    <w:rsid w:val="1A8156DB"/>
    <w:rsid w:val="22A16863"/>
    <w:rsid w:val="273C716F"/>
    <w:rsid w:val="2A580775"/>
    <w:rsid w:val="2EA37DBC"/>
    <w:rsid w:val="35BD1563"/>
    <w:rsid w:val="37A1780E"/>
    <w:rsid w:val="37F06328"/>
    <w:rsid w:val="38622D1D"/>
    <w:rsid w:val="39653AC8"/>
    <w:rsid w:val="396C5362"/>
    <w:rsid w:val="3B5C6886"/>
    <w:rsid w:val="3B68621D"/>
    <w:rsid w:val="418465EA"/>
    <w:rsid w:val="428B1FE6"/>
    <w:rsid w:val="437A642B"/>
    <w:rsid w:val="50AD2841"/>
    <w:rsid w:val="51035E25"/>
    <w:rsid w:val="5702076A"/>
    <w:rsid w:val="5ECD486E"/>
    <w:rsid w:val="641726EB"/>
    <w:rsid w:val="674F71D1"/>
    <w:rsid w:val="68BA526B"/>
    <w:rsid w:val="71F72072"/>
    <w:rsid w:val="725C6318"/>
    <w:rsid w:val="754E5995"/>
    <w:rsid w:val="797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3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4">
    <w:name w:val="样式2"/>
    <w:basedOn w:val="15"/>
    <w:qFormat/>
    <w:uiPriority w:val="0"/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18"/>
    <w:basedOn w:val="12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1">
    <w:name w:val="15"/>
    <w:basedOn w:val="12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2">
    <w:name w:val="17"/>
    <w:basedOn w:val="12"/>
    <w:qFormat/>
    <w:uiPriority w:val="0"/>
    <w:rPr>
      <w:rFonts w:hint="eastAsia" w:ascii="仿宋" w:hAnsi="仿宋" w:eastAsia="仿宋"/>
      <w:color w:val="FF0000"/>
      <w:sz w:val="24"/>
      <w:szCs w:val="24"/>
    </w:rPr>
  </w:style>
  <w:style w:type="character" w:customStyle="1" w:styleId="23">
    <w:name w:val="16"/>
    <w:basedOn w:val="12"/>
    <w:qFormat/>
    <w:uiPriority w:val="0"/>
    <w:rPr>
      <w:rFonts w:hint="eastAsia" w:ascii="仿宋" w:hAnsi="仿宋" w:eastAsia="仿宋"/>
      <w:color w:val="C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5561</Words>
  <Characters>6075</Characters>
  <Lines>0</Lines>
  <Paragraphs>0</Paragraphs>
  <TotalTime>36</TotalTime>
  <ScaleCrop>false</ScaleCrop>
  <LinksUpToDate>false</LinksUpToDate>
  <CharactersWithSpaces>6725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振</cp:lastModifiedBy>
  <cp:lastPrinted>2026-03-13T00:38:05Z</cp:lastPrinted>
  <dcterms:modified xsi:type="dcterms:W3CDTF">2026-03-13T01:08:41Z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91845A69D63B481195813EA94F25B0A5_11</vt:lpwstr>
  </property>
  <property fmtid="{D5CDD505-2E9C-101B-9397-08002B2CF9AE}" pid="4" name="KSOTemplateDocerSaveRecord">
    <vt:lpwstr>eyJoZGlkIjoiNTM2MzVhMWE5ZmIxMzBhOTdiYTIxNzRkM2M5NjYxNDAiLCJ1c2VySWQiOiI2MTE1MjM2MTEifQ==</vt:lpwstr>
  </property>
</Properties>
</file>